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jc w:val="center"/>
        <w:rPr>
          <w:rFonts w:ascii="PT Serif" w:hAnsi="PT Serif"/>
          <w:b/>
          <w:color w:val="22272F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доступности медицинской помощи, установленные в территориальной программе государственных гарантий бесплатного оказания гражданам медицинской помощи на 2024 год</w:t>
      </w:r>
    </w:p>
    <w:tbl>
      <w:tblPr>
        <w:tblStyle w:val="3"/>
        <w:tblW w:w="9554" w:type="dxa"/>
        <w:tblInd w:w="-9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0"/>
        <w:gridCol w:w="1020"/>
        <w:gridCol w:w="1140"/>
        <w:gridCol w:w="1009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4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Критерии доступности медицинской помощи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2024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2025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Удовлетворенность населения доступностью медицинской помощи (% числа опрошенных)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городского населения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сельского населения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11,5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11,5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11,5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2,5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2,5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пациентов, получивших специализированную медицинскую помощь в стационарных условиях в федеральных медицинских организациях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1,2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1,3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pStyle w:val="7"/>
              <w:jc w:val="center"/>
            </w:pPr>
            <w: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42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44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81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82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98,8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98,8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pStyle w:val="7"/>
              <w:jc w:val="center"/>
            </w:pPr>
            <w:r>
              <w:t>98,8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75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78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78</w:t>
            </w:r>
          </w:p>
        </w:tc>
      </w:tr>
    </w:tbl>
    <w:p>
      <w:pPr>
        <w:pStyle w:val="6"/>
        <w:shd w:val="clear" w:color="auto" w:fill="FFFFFF"/>
        <w:ind w:left="-1134" w:right="-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качества медицинской помощи, установленные в территориальной программе государственных гарантий бесплатного оказания гражданам медицинской помощи на 2024 год</w:t>
      </w:r>
    </w:p>
    <w:tbl>
      <w:tblPr>
        <w:tblStyle w:val="3"/>
        <w:tblW w:w="1032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360"/>
        <w:gridCol w:w="1020"/>
        <w:gridCol w:w="1140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4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Критерии качества медицинской помощи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2024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2025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pStyle w:val="7"/>
              <w:jc w:val="center"/>
            </w:pPr>
            <w:r>
              <w:t>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6,5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6,7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pStyle w:val="7"/>
              <w:jc w:val="center"/>
            </w:pPr>
            <w:r>
              <w:t>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1,9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3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</w:pPr>
            <w:r>
              <w:t>Доля впервые выявленных онкологических заболеваний при профилактических медицинских осмотрах, в т.ч.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31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32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pStyle w:val="7"/>
              <w:jc w:val="center"/>
            </w:pPr>
            <w: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4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0,2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0,21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0,21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6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85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86,7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7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95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8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 с острым инфарктом миокарда, которым проведена тромболическая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10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44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48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11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12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12,8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13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99,8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99,8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99,8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14</w:t>
            </w:r>
          </w:p>
        </w:tc>
        <w:tc>
          <w:tcPr>
            <w:tcW w:w="6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98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98</w:t>
            </w: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15</w:t>
            </w:r>
          </w:p>
        </w:tc>
        <w:tc>
          <w:tcPr>
            <w:tcW w:w="6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100</w:t>
            </w: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16</w:t>
            </w:r>
          </w:p>
        </w:tc>
        <w:tc>
          <w:tcPr>
            <w:tcW w:w="6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20</w:t>
            </w: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17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280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280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18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Количество обоснованных жалоб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19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Количество случаев госпитализации с диагнозом "Бронхиальная астма" на 100 тыс. населения в год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52,5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52,1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42,8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20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Количество случаев госпитализации с диагнозом "Хроническая обструктивная болезнь легких" на 100 тыс. населения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125,2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125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124,8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21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Количество случаев госпитализации с диагнозом "Хроническая сердечная недостаточность" на 100 тыс. населения в год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63,2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63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62,8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22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Количество случаев госпитализации с диагнозом "Гипертоническая болезнь" на 100 тыс. населения в год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677,5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677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676,5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23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Количество случаев госпитализации с диагнозом "Сахарный диабет" на 100 тыс. населения в год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320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315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24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</w:pPr>
            <w:r>
              <w:t>Количество пациентов с гепатитом C, получивших противовирусную терапию, на 100 тыс. населения в год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pStyle w:val="7"/>
              <w:jc w:val="center"/>
            </w:pPr>
            <w: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25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</w:pPr>
            <w:r>
              <w:t>15</w:t>
            </w:r>
          </w:p>
        </w:tc>
      </w:tr>
    </w:tbl>
    <w:p>
      <w:pPr>
        <w:pStyle w:val="6"/>
        <w:shd w:val="clear" w:color="auto" w:fill="FFFFFF"/>
        <w:ind w:left="-1134" w:right="-426"/>
        <w:jc w:val="center"/>
        <w:rPr>
          <w:b/>
          <w:color w:val="000000"/>
          <w:sz w:val="28"/>
          <w:szCs w:val="28"/>
        </w:rPr>
      </w:pPr>
    </w:p>
    <w:p>
      <w:pPr>
        <w:pStyle w:val="6"/>
        <w:shd w:val="clear" w:color="auto" w:fill="FFFFFF"/>
        <w:ind w:left="-1134" w:right="-426"/>
        <w:jc w:val="center"/>
        <w:rPr>
          <w:rFonts w:ascii="PT Serif" w:hAnsi="PT Serif"/>
          <w:b/>
          <w:color w:val="22272F"/>
          <w:sz w:val="28"/>
          <w:szCs w:val="28"/>
        </w:rPr>
      </w:pPr>
    </w:p>
    <w:p>
      <w:pPr>
        <w:pStyle w:val="6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imes New Roman CYR">
    <w:altName w:val="Time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A0"/>
    <w:rsid w:val="002D39B4"/>
    <w:rsid w:val="00302B65"/>
    <w:rsid w:val="00304879"/>
    <w:rsid w:val="0036630C"/>
    <w:rsid w:val="005B06A6"/>
    <w:rsid w:val="0069601C"/>
    <w:rsid w:val="00751212"/>
    <w:rsid w:val="007D5A5D"/>
    <w:rsid w:val="00856B3D"/>
    <w:rsid w:val="00880C1D"/>
    <w:rsid w:val="00992256"/>
    <w:rsid w:val="00A03C53"/>
    <w:rsid w:val="00A72E4C"/>
    <w:rsid w:val="00AA3D26"/>
    <w:rsid w:val="00B250AF"/>
    <w:rsid w:val="00B86E5B"/>
    <w:rsid w:val="00BE6B30"/>
    <w:rsid w:val="00C10CA2"/>
    <w:rsid w:val="00CC6485"/>
    <w:rsid w:val="00DF31AE"/>
    <w:rsid w:val="00EF69CF"/>
    <w:rsid w:val="00F076A0"/>
    <w:rsid w:val="00FA0DB5"/>
    <w:rsid w:val="583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customStyle="1" w:styleId="8">
    <w:name w:val="Прижатый влево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1870</Characters>
  <Lines>15</Lines>
  <Paragraphs>4</Paragraphs>
  <TotalTime>0</TotalTime>
  <ScaleCrop>false</ScaleCrop>
  <LinksUpToDate>false</LinksUpToDate>
  <CharactersWithSpaces>2193</CharactersWithSpaces>
  <Application>WPS Office_12.2.0.13362_F1E327BC-269C-435d-A152-05C5408002CA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2024-01-17T04:55:00Z</dcterms:created>
  <dc:creator>Кузнецова Ольга Владимировна</dc:creator>
  <cp:lastModifiedBy>kursu</cp:lastModifiedBy>
  <dcterms:modified xsi:type="dcterms:W3CDTF">2024-01-19T05:22:25Z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1049-12.2.0.13362</vt:lpwstr>
  </property>
  <property fmtid="{D5CDD505-2E9C-101B-9397-08002B2CF9AE}" pid="3" name="ICV">
    <vt:lpwstr>F387AE688E5D4CF39A26FB69CF1303A0_13</vt:lpwstr>
  </property>
</Properties>
</file>